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Arbeidsovereenkomst</w:t>
      </w:r>
      <w:bookmarkEnd w:id="0"/>
    </w:p>
    <w:p>
      <w:pPr>
        <w:pStyle w:val="Meta"/>
      </w:pPr>
      <w:r>
        <w:rPr>
          <w:rStyle w:val="MetaFont"/>
        </w:rPr>
        <w:t xml:space="preserve">voor bepaalde of onbepaalde tijd, met opgave van de gegevens als bedoeld in artikel 7:655 Burgerlijk Wetboek</w:t>
      </w:r>
    </w:p>
    <w:p>
      <w:pPr/>
      <w:r>
        <w:rPr/>
        <w:t xml:space="preserve">De ondergetekenden:</w:t>
      </w:r>
    </w:p>
    <w:p>
      <w:pPr/>
      <w:r>
        <w:rPr>
          <w:b w:val="1"/>
          <w:bCs w:val="1"/>
        </w:rPr>
        <w:t xml:space="preserve">${_Bedrijfsnaam:company_name:text_}</w:t>
      </w:r>
      <w:r>
        <w:rPr/>
        <w:t xml:space="preserve">, gevestigd te ${_Bedrijfsadres:company_address:text_}, ingeschreven in het Handelsregister van de Kamer van Koophandel onder nummer ${_KvK-nummer:company_registration_number:text_}, rechtsgeldig vertegenwoordigd door ${_Ondertekent_namens_het_bedrijf:company_representative:text_}, hierna te noemen „Werkgever”,</w:t>
      </w:r>
    </w:p>
    <w:p>
      <w:pPr/>
      <w:r>
        <w:rPr/>
        <w:t xml:space="preserve">en</w:t>
      </w:r>
    </w:p>
    <w:p>
      <w:pPr/>
      <w:r>
        <w:rPr>
          <w:b w:val="1"/>
          <w:bCs w:val="1"/>
        </w:rPr>
        <w:t xml:space="preserve">${_Volledige_naam_werknemer:employee_name:text_}</w:t>
      </w:r>
      <w:r>
        <w:rPr/>
        <w:t xml:space="preserve">, geboren op ${_Geboortedatum_werknemer::date_}, wonende te ${_Adres_werknemer_}, burgerservicenummer ${_BSN_werknemer_}, hierna te noemen „Werknemer”,</w:t>
      </w:r>
    </w:p>
    <w:p>
      <w:pPr/>
      <w:r>
        <w:rPr/>
        <w:t xml:space="preserve">zijn het volgende overeengekomen:</w:t>
      </w:r>
    </w:p>
    <w:p>
      <w:pPr>
        <w:pStyle w:val="Heading2"/>
      </w:pPr>
      <w:bookmarkStart w:id="1" w:name="_Toc1"/>
      <w:r>
        <w:t>Artikel 1. Indiensttreding, functie en aard van de overeenkomst</w:t>
      </w:r>
      <w:bookmarkEnd w:id="1"/>
    </w:p>
    <w:p>
      <w:pPr/>
      <w:r>
        <w:rPr/>
        <w:t xml:space="preserve">1. Werknemer treedt op </w:t>
      </w:r>
      <w:r>
        <w:rPr>
          <w:b w:val="1"/>
          <w:bCs w:val="1"/>
        </w:rPr>
        <w:t xml:space="preserve">${_Startdatum::date_}</w:t>
      </w:r>
      <w:r>
        <w:rPr/>
        <w:t xml:space="preserve"> in dienst van Werkgever in de functie van </w:t>
      </w:r>
      <w:r>
        <w:rPr>
          <w:b w:val="1"/>
          <w:bCs w:val="1"/>
        </w:rPr>
        <w:t xml:space="preserve">${_Functie:job_title:text_}</w:t>
      </w:r>
      <w:r>
        <w:rPr/>
        <w:t xml:space="preserve">.</w:t>
      </w:r>
    </w:p>
    <w:p>
      <w:pPr/>
      <w:r>
        <w:rPr/>
        <w:t xml:space="preserve">2. De overeenkomst wordt aangegaan voor </w:t>
      </w:r>
      <w:r>
        <w:rPr>
          <w:b w:val="1"/>
          <w:bCs w:val="1"/>
        </w:rPr>
        <w:t xml:space="preserve">${_Soort_overeenkomst::dropdown('bepaalde tijd', 'onbepaalde tijd')_}</w:t>
      </w:r>
      <w:r>
        <w:rPr/>
        <w:t xml:space="preserve">. Een overeenkomst voor bepaalde tijd eindigt van rechtswege op </w:t>
      </w:r>
      <w:r>
        <w:rPr>
          <w:b w:val="1"/>
          <w:bCs w:val="1"/>
        </w:rPr>
        <w:t xml:space="preserve">${_Einddatum::date_}</w:t>
      </w:r>
      <w:r>
        <w:rPr/>
        <w:t xml:space="preserve">, zonder dat opzegging is vereist. Duurt de overeenkomst zes maanden of langer, dan laat Werkgever Werknemer uiterlijk één maand voor de einddatum schriftelijk weten of de overeenkomst wordt voortgezet en zo ja, onder welke voorwaarden (aanzegplicht, artikel 7:668 BW). Na meer dan drie opvolgende overeenkomsten voor bepaalde tijd, of zodra opvolgende overeenkomsten samen langer dan 36 maanden hebben geduurd, geldt de laatste overeenkomst als aangegaan voor onbepaalde tijd (ketenregeling, artikel 7:668a BW).</w:t>
      </w:r>
    </w:p>
    <w:p>
      <w:pPr/>
      <w:r>
        <w:rPr/>
        <w:t xml:space="preserve">3. Deze overeenkomst is geen uitzendovereenkomst (artikel 7:690 BW), geen payrollovereenkomst (artikel 7:692 BW) en geen oproepovereenkomst (artikel 7:628a BW).</w:t>
      </w:r>
    </w:p>
    <w:p>
      <w:pPr>
        <w:pStyle w:val="Heading2"/>
      </w:pPr>
      <w:bookmarkStart w:id="2" w:name="_Toc2"/>
      <w:r>
        <w:t>Artikel 2. Proeftijd</w:t>
      </w:r>
      <w:bookmarkEnd w:id="2"/>
    </w:p>
    <w:p>
      <w:pPr/>
      <w:r>
        <w:rPr/>
        <w:t xml:space="preserve">Partijen komen een proeftijd overeen van </w:t>
      </w:r>
      <w:r>
        <w:rPr>
          <w:b w:val="1"/>
          <w:bCs w:val="1"/>
        </w:rPr>
        <w:t xml:space="preserve">${_Proeftijd::dropdown('één maand', 'twee maanden', 'geen')_}</w:t>
      </w:r>
      <w:r>
        <w:rPr/>
        <w:t xml:space="preserve">, ingaande op de datum van indiensttreding (artikel 7:652 BW: geen proeftijd bij een overeenkomst van zes maanden of korter; ten hoogste één maand bij een overeenkomst voor bepaalde tijd van meer dan zes maanden maar korter dan twee jaar of zonder vaste einddatum; ten hoogste twee maanden bij een overeenkomst van twee jaar of langer of voor onbepaalde tijd; een langere proeftijd is nietig). Is hier „geen” ingevuld, dan geldt geen proeftijd. Tijdens de proeftijd kan ieder van partijen de overeenkomst met onmiddellijke ingang opzeggen; Werkgever geeft op verzoek van Werknemer schriftelijk de reden op (artikel 7:676 en 7:669 lid 7 BW).</w:t>
      </w:r>
    </w:p>
    <w:p>
      <w:pPr>
        <w:pStyle w:val="Heading2"/>
      </w:pPr>
      <w:bookmarkStart w:id="3" w:name="_Toc3"/>
      <w:r>
        <w:t>Artikel 3. Werkzaamheden en standplaats</w:t>
      </w:r>
      <w:bookmarkEnd w:id="3"/>
    </w:p>
    <w:p>
      <w:pPr/>
      <w:r>
        <w:rPr/>
        <w:t xml:space="preserve">1. De werkzaamheden van Werknemer bestaan in hoofdzaak uit: ${_Werkzaamheden::textarea_}</w:t>
      </w:r>
    </w:p>
    <w:p>
      <w:pPr/>
      <w:r>
        <w:rPr/>
        <w:t xml:space="preserve">2. Werknemer verricht in redelijkheid ook andere werkzaamheden die bij de functie en de organisatie van Werkgever passen, en houdt zich aan de redelijke voorschriften en instructies van Werkgever (artikel 7:660 BW).</w:t>
      </w:r>
    </w:p>
    <w:p>
      <w:pPr/>
      <w:r>
        <w:rPr/>
        <w:t xml:space="preserve">3. De standplaats van Werknemer is </w:t>
      </w:r>
      <w:r>
        <w:rPr>
          <w:b w:val="1"/>
          <w:bCs w:val="1"/>
        </w:rPr>
        <w:t xml:space="preserve">${_Standplaats:workplace:text_}</w:t>
      </w:r>
      <w:r>
        <w:rPr/>
        <w:t xml:space="preserve">. Werknemer kan binnen redelijke grenzen ook op andere locaties van Werkgever of bij relaties van Werkgever worden ingezet.</w:t>
      </w:r>
    </w:p>
    <w:p>
      <w:pPr>
        <w:pStyle w:val="Heading2"/>
      </w:pPr>
      <w:bookmarkStart w:id="4" w:name="_Toc4"/>
      <w:r>
        <w:t>Artikel 4. Arbeidsduur en werktijden</w:t>
      </w:r>
      <w:bookmarkEnd w:id="4"/>
    </w:p>
    <w:p>
      <w:pPr/>
      <w:r>
        <w:rPr/>
        <w:t xml:space="preserve">1. De arbeidsduur bedraagt </w:t>
      </w:r>
      <w:r>
        <w:rPr>
          <w:b w:val="1"/>
          <w:bCs w:val="1"/>
        </w:rPr>
        <w:t xml:space="preserve">${_Arbeidsduur::dropdown('40', '36', '32', '24')_}</w:t>
      </w:r>
      <w:r>
        <w:rPr/>
        <w:t xml:space="preserve"> uur per week. De gebruikelijke werkdagen en werktijden zijn: </w:t>
      </w:r>
      <w:r>
        <w:rPr>
          <w:b w:val="1"/>
          <w:bCs w:val="1"/>
        </w:rPr>
        <w:t xml:space="preserve">${_Werkdagen_en_werktijden::dropdown('maandag t/m vrijdag, 9.00-17.30 uur', 'maandag t/m vrijdag, 8.00-16.30 uur', 'volgens rooster')_}</w:t>
      </w:r>
      <w:r>
        <w:rPr/>
        <w:t xml:space="preserve">. Het werkpatroon is voorspelbaar; wijzigingen worden in overleg en met inachtneming van de Arbeidstijdenwet vastgesteld.</w:t>
      </w:r>
    </w:p>
    <w:p>
      <w:pPr/>
      <w:r>
        <w:rPr/>
        <w:t xml:space="preserve">2. Overwerk vindt alleen plaats op verzoek van Werkgever en wordt gecompenseerd volgens de toepasselijke cao of, bij gebreke daarvan, in tijd voor tijd. Het loon inclusief overwerk is nooit lager dan het wettelijk minimumloon over de gewerkte uren.</w:t>
      </w:r>
    </w:p>
    <w:p>
      <w:pPr>
        <w:pStyle w:val="Heading2"/>
      </w:pPr>
      <w:bookmarkStart w:id="5" w:name="_Toc5"/>
      <w:r>
        <w:t>Artikel 5. Salaris, vakantietoeslag en overige vergoedingen</w:t>
      </w:r>
      <w:bookmarkEnd w:id="5"/>
    </w:p>
    <w:p>
      <w:pPr/>
      <w:r>
        <w:rPr/>
        <w:t xml:space="preserve">1. Het salaris bedraagt </w:t>
      </w:r>
      <w:r>
        <w:rPr>
          <w:b w:val="1"/>
          <w:bCs w:val="1"/>
        </w:rPr>
        <w:t xml:space="preserve">${_Salaris_} ${_Valuta:currency:text_}</w:t>
      </w:r>
      <w:r>
        <w:rPr/>
        <w:t xml:space="preserve"> bruto per maand bij de in artikel 4 genoemde arbeidsduur, en is nooit lager dan het wettelijk minimumloon. Het salaris wordt maandelijks, uiterlijk op </w:t>
      </w:r>
      <w:r>
        <w:rPr>
          <w:b w:val="1"/>
          <w:bCs w:val="1"/>
        </w:rPr>
        <w:t xml:space="preserve">${_Betaaldag::dropdown('de laatste werkdag van de maand', 'de 25e van de maand', 'de 1e van de volgende maand')_}</w:t>
      </w:r>
      <w:r>
        <w:rPr/>
        <w:t xml:space="preserve">, onder inhouding van de wettelijke loonheffingen overgemaakt op een door Werknemer opgegeven bankrekening; Werknemer ontvangt bij iedere betaling een loonstrook (artikel 7:626 BW).</w:t>
      </w:r>
    </w:p>
    <w:p>
      <w:pPr/>
      <w:r>
        <w:rPr/>
        <w:t xml:space="preserve">2. Werknemer heeft recht op een vakantietoeslag van 8% van het in de periode van 1 juni tot en met 31 mei verdiende brutoloon, uit te betalen uiterlijk in juni (Wet minimumloon en minimumvakantiebijslag).</w:t>
      </w:r>
    </w:p>
    <w:p>
      <w:pPr/>
      <w:r>
        <w:rPr/>
        <w:t xml:space="preserve">3. Overige vergoedingen en loonbestanddelen (bijvoorbeeld reiskostenvergoeding, bonus- of provisieregeling, thuiswerkvergoeding): ${_Overige_vergoedingen::textarea_} Is hier niets ingevuld, dan gelden geen andere vergoedingen dan de wettelijke en die uit de toepasselijke cao.</w:t>
      </w:r>
    </w:p>
    <w:p>
      <w:pPr>
        <w:pStyle w:val="Heading2"/>
      </w:pPr>
      <w:bookmarkStart w:id="6" w:name="_Toc6"/>
      <w:r>
        <w:t>Artikel 6. Vakantie en verlof</w:t>
      </w:r>
      <w:bookmarkEnd w:id="6"/>
    </w:p>
    <w:p>
      <w:pPr/>
      <w:r>
        <w:rPr/>
        <w:t xml:space="preserve">1. Werknemer heeft bij de in artikel 4 genoemde arbeidsduur recht op </w:t>
      </w:r>
      <w:r>
        <w:rPr>
          <w:b w:val="1"/>
          <w:bCs w:val="1"/>
        </w:rPr>
        <w:t xml:space="preserve">${_Vakantiedagen_per_jaar::dropdown('25', '20', '24')_}</w:t>
      </w:r>
      <w:r>
        <w:rPr/>
        <w:t xml:space="preserve"> vakantiedagen per kalenderjaar met behoud van loon (ten minste vier maal de overeengekomen arbeidsduur per week, artikel 7:634 BW), naar rato bij indiensttreding of uitdiensttreding in de loop van het jaar. Vakantie wordt vastgesteld overeenkomstig de wensen van Werknemer, tenzij gewichtige redenen zich daartegen verzetten (artikel 7:638 BW).</w:t>
      </w:r>
    </w:p>
    <w:p>
      <w:pPr/>
      <w:r>
        <w:rPr/>
        <w:t xml:space="preserve">2. De wettelijke vakantiedagen vervallen zes maanden na afloop van het kalenderjaar waarin zij zijn opgebouwd, tenzij Werknemer redelijkerwijs niet in staat is geweest ze op te nemen (artikel 7:640a BW); bovenwettelijke vakantiedagen verjaren na vijf jaar.</w:t>
      </w:r>
    </w:p>
    <w:p>
      <w:pPr/>
      <w:r>
        <w:rPr/>
        <w:t xml:space="preserve">3. Daarnaast heeft Werknemer recht op het verlof uit de Wet arbeid en zorg, waaronder zwangerschaps- en bevallingsverlof, geboorteverlof, (betaald) ouderschapsverlof, zorgverlof en calamiteitenverlof.</w:t>
      </w:r>
    </w:p>
    <w:p>
      <w:pPr>
        <w:pStyle w:val="Heading2"/>
      </w:pPr>
      <w:bookmarkStart w:id="7" w:name="_Toc7"/>
      <w:r>
        <w:t>Artikel 7. Ziekte</w:t>
      </w:r>
      <w:bookmarkEnd w:id="7"/>
    </w:p>
    <w:p>
      <w:pPr/>
      <w:r>
        <w:rPr/>
        <w:t xml:space="preserve">Bij arbeidsongeschiktheid meldt Werknemer zich vóór aanvang van de werkdag ziek bij Werkgever en houdt Werknemer zich aan het verzuimreglement van Werkgever. Werkgever betaalt bij ziekte gedurende ten hoogste 104 weken ten minste 70% van het loon door, de eerste 52 weken ten minste het wettelijk minimumloon (artikel 7:629 BW), tenzij de toepasselijke cao in meer voorziet.</w:t>
      </w:r>
    </w:p>
    <w:p>
      <w:pPr>
        <w:pStyle w:val="Heading2"/>
      </w:pPr>
      <w:bookmarkStart w:id="8" w:name="_Toc8"/>
      <w:r>
        <w:t>Artikel 8. Pensioen en cao</w:t>
      </w:r>
      <w:bookmarkEnd w:id="8"/>
    </w:p>
    <w:p>
      <w:pPr/>
      <w:r>
        <w:rPr/>
        <w:t xml:space="preserve">1. Werknemer neemt deel aan de volgende pensioenregeling: </w:t>
      </w:r>
      <w:r>
        <w:rPr>
          <w:b w:val="1"/>
          <w:bCs w:val="1"/>
        </w:rPr>
        <w:t xml:space="preserve">${_Pensioenregeling_}</w:t>
      </w:r>
      <w:r>
        <w:rPr/>
        <w:t xml:space="preserve">. De voorwaarden zijn vastgelegd in het pensioenreglement dat Werknemer ontvangt. Is hier „geen” ingevuld, dan is geen pensioenregeling van toepassing.</w:t>
      </w:r>
    </w:p>
    <w:p>
      <w:pPr/>
      <w:r>
        <w:rPr/>
        <w:t xml:space="preserve">2. Op deze overeenkomst is de volgende collectieve arbeidsovereenkomst van toepassing: </w:t>
      </w:r>
      <w:r>
        <w:rPr>
          <w:b w:val="1"/>
          <w:bCs w:val="1"/>
        </w:rPr>
        <w:t xml:space="preserve">${_Toepasselijke_cao_}</w:t>
      </w:r>
      <w:r>
        <w:rPr/>
        <w:t xml:space="preserve">. Is hier „geen” ingevuld, dan is geen cao van toepassing. Bij strijd tussen deze overeenkomst en een dwingende bepaling van de cao gaat de cao voor.</w:t>
      </w:r>
    </w:p>
    <w:p>
      <w:pPr>
        <w:pStyle w:val="Heading2"/>
      </w:pPr>
      <w:bookmarkStart w:id="9" w:name="_Toc9"/>
      <w:r>
        <w:t>Artikel 9. Scholing</w:t>
      </w:r>
      <w:bookmarkEnd w:id="9"/>
    </w:p>
    <w:p>
      <w:pPr/>
      <w:r>
        <w:rPr/>
        <w:t xml:space="preserve">Werkgever stelt Werknemer in staat de scholing te volgen die noodzakelijk is voor de uitoefening van de functie of die Werkgever op grond van de wet of de cao verplicht is aan te bieden; deze scholing is kosteloos voor Werknemer, geldt als arbeidstijd en wordt zoveel mogelijk onder werktijd gevolgd (artikel 7:611a BW).</w:t>
      </w:r>
    </w:p>
    <w:p>
      <w:pPr>
        <w:pStyle w:val="Heading2"/>
      </w:pPr>
      <w:bookmarkStart w:id="10" w:name="_Toc10"/>
      <w:r>
        <w:t>Artikel 10. Beëindiging</w:t>
      </w:r>
      <w:bookmarkEnd w:id="10"/>
    </w:p>
    <w:p>
      <w:pPr/>
      <w:r>
        <w:rPr/>
        <w:t xml:space="preserve">1. Ieder van partijen kan deze overeenkomst, ook indien zij voor bepaalde tijd is aangegaan (tussentijds opzegbeding, artikel 7:667 lid 3 BW), schriftelijk opzeggen tegen het einde van de kalendermaand met een opzegtermijn van </w:t>
      </w:r>
      <w:r>
        <w:rPr>
          <w:b w:val="1"/>
          <w:bCs w:val="1"/>
        </w:rPr>
        <w:t xml:space="preserve">${_Opzegtermijn::dropdown('één maand', 'twee maanden', 'drie maanden')_}</w:t>
      </w:r>
      <w:r>
        <w:rPr/>
        <w:t xml:space="preserve">. Voor Werkgever geldt ten minste de wettelijke opzegtermijn van artikel 7:672 BW (één maand bij een dienstverband korter dan vijf jaar, twee maanden bij vijf tot tien jaar, drie maanden bij tien tot vijftien jaar en vier maanden bij vijftien jaar of langer); wordt voor Werknemer een langere opzegtermijn dan één maand overeengekomen, dan bedraagt die voor Werkgever ten minste het dubbele.</w:t>
      </w:r>
    </w:p>
    <w:p>
      <w:pPr/>
      <w:r>
        <w:rPr/>
        <w:t xml:space="preserve">2. Werkgever kan slechts opzeggen met toestemming van het UWV of na ontbinding door de kantonrechter, behoudens opzegging tijdens de proeftijd, wegens een dringende reden of met schriftelijke instemming van Werknemer (artikel 7:671 BW). Partijen kunnen de overeenkomst ook met wederzijds goedvinden schriftelijk beëindigen (artikel 7:670b BW).</w:t>
      </w:r>
    </w:p>
    <w:p>
      <w:pPr/>
      <w:r>
        <w:rPr/>
        <w:t xml:space="preserve">3. De overeenkomst eindigt in ieder geval van rechtswege, zonder opzegging, op de dag waarop Werknemer de AOW-gerechtigde leeftijd bereikt.</w:t>
      </w:r>
    </w:p>
    <w:p>
      <w:pPr>
        <w:pStyle w:val="Heading2"/>
      </w:pPr>
      <w:bookmarkStart w:id="11" w:name="_Toc11"/>
      <w:r>
        <w:t>Artikel 11. Geheimhouding, nevenwerkzaamheden en concurrentiebeding</w:t>
      </w:r>
      <w:bookmarkEnd w:id="11"/>
    </w:p>
    <w:p>
      <w:pPr/>
      <w:r>
        <w:rPr/>
        <w:t xml:space="preserve">1. Werknemer bewaart zowel tijdens als na het einde van de overeenkomst geheimhouding over alle informatie over de onderneming van Werkgever en haar relaties waarvan het vertrouwelijke karakter bekend is of redelijkerwijs kan worden vermoed. Bij het einde van de overeenkomst levert Werknemer alle bedrijfseigendommen en gegevensdragers van Werkgever in.</w:t>
      </w:r>
    </w:p>
    <w:p>
      <w:pPr/>
      <w:r>
        <w:rPr/>
        <w:t xml:space="preserve">2. Werknemer meldt nevenwerkzaamheden vooraf aan Werkgever. Werkgever verbiedt nevenwerkzaamheden alleen op grond van een objectieve rechtvaardigingsgrond, zoals gezondheid en veiligheid, bescherming van vertrouwelijke bedrijfsinformatie, naleving van de Arbeidstijdenwet of het vermijden van belangenconflicten (artikel 7:653a BW).</w:t>
      </w:r>
    </w:p>
    <w:p>
      <w:pPr/>
      <w:r>
        <w:rPr/>
        <w:t xml:space="preserve">3. Concurrentie- en relatiebeding: ${_Concurrentie-_en_relatiebeding::textarea_} Is hier niets ingevuld, dan geldt geen concurrentie- of relatiebeding. Een concurrentie- of relatiebeding is alleen geldig als het schriftelijk is overeengekomen met een meerderjarige Werknemer en, bij een overeenkomst voor bepaalde tijd, alleen als hierbij schriftelijk is gemotiveerd welke zwaarwegende bedrijfs- of dienstbelangen het beding noodzakelijk maken (artikel 7:653 BW).</w:t>
      </w:r>
    </w:p>
    <w:p>
      <w:pPr>
        <w:pStyle w:val="Heading2"/>
      </w:pPr>
      <w:bookmarkStart w:id="12" w:name="_Toc12"/>
      <w:r>
        <w:t>Artikel 12. Persoonsgegevens</w:t>
      </w:r>
      <w:bookmarkEnd w:id="12"/>
    </w:p>
    <w:p>
      <w:pPr/>
      <w:r>
        <w:rPr/>
        <w:t xml:space="preserve">Werkgever verwerkt de persoonsgegevens van Werknemer voor zover dat nodig is voor de uitvoering van deze overeenkomst en de nakoming van wettelijke verplichtingen, overeenkomstig de Algemene verordening gegevensbescherming (AVG) en de privacyverklaring voor medewerkers die Werknemer heeft ontvangen. Werkgever draagt de loonheffingen en de premies werknemersverzekeringen af aan de Belastingdienst; de werknemersverzekeringen (WW, ZW, WIA) worden uitgevoerd door het UWV.</w:t>
      </w:r>
    </w:p>
    <w:p>
      <w:pPr>
        <w:pStyle w:val="Heading2"/>
      </w:pPr>
      <w:bookmarkStart w:id="13" w:name="_Toc13"/>
      <w:r>
        <w:t>Artikel 13. Slotbepalingen</w:t>
      </w:r>
      <w:bookmarkEnd w:id="13"/>
    </w:p>
    <w:p>
      <w:pPr/>
      <w:r>
        <w:rPr/>
        <w:t xml:space="preserve">1. Wijzigingen van en aanvullingen op deze overeenkomst worden schriftelijk vastgelegd. Werkgever informeert Werknemer schriftelijk of elektronisch over een wijziging van de in artikel 7:655 BW bedoelde gegevens uiterlijk op de dag waarop deze ingaat.</w:t>
      </w:r>
    </w:p>
    <w:p>
      <w:pPr/>
      <w:r>
        <w:rPr/>
        <w:t xml:space="preserve">2. Op deze overeenkomst is Nederlands recht van toepassing. Voor zover deze overeenkomst niet in een onderwerp voorziet, gelden de wet en de toepasselijke cao.</w:t>
      </w:r>
    </w:p>
    <w:p>
      <w:pPr>
        <w:keepNext w:val="1"/>
      </w:pPr>
      <w:r>
        <w:rPr/>
        <w:t xml:space="preserve">3. Aldus overeengekomen en in tweevoud opgemaakt en ondertekend te ${_Plaats_van_ondertekening:place:text_} op ${_Datum_document:today:date_}; ieder van partijen heeft een exemplaar ontvangen.</w:t>
      </w:r>
    </w:p>
    <w:p>
      <w:pPr>
        <w:keepNext w:val="1"/>
      </w:pPr>
      <w:pPr/>
    </w:p>
    <w:p>
      <w:pPr>
        <w:keepNext w:val="1"/>
      </w:pPr>
      <w:pPr/>
    </w:p>
    <w:tbl>
      <w:tblGrid>
        <w:gridCol w:w="4500" w:type="dxa"/>
        <w:gridCol w:w="4500" w:type="dxa"/>
      </w:tblGrid>
      <w:tblPr>
        <w:tblW w:w="5000" w:type="pct"/>
        <w:tblLayout w:type="autofit"/>
        <w:tblCellMar>
          <w:top w:w="120" w:type="dxa"/>
          <w:left w:w="120" w:type="dxa"/>
          <w:right w:w="120" w:type="dxa"/>
          <w:bottom w:w="120" w:type="dxa"/>
        </w:tblCellMar>
      </w:tblPr>
      <w:tr>
        <w:trPr>
          <w:cantSplit w:val="1"/>
        </w:trPr>
        <w:tc>
          <w:tcPr>
            <w:tcW w:w="4500" w:type="dxa"/>
            <w:vAlign w:val="bottom"/>
            <w:noWrap/>
          </w:tcPr>
          <w:p>
            <w:pPr>
              <w:jc w:val="start"/>
              <w:spacing w:before="360" w:after="0"/>
            </w:pPr>
            <w:r>
              <w:rPr>
                <w:b w:val="1"/>
                <w:bCs w:val="1"/>
              </w:rPr>
              <w:t xml:space="preserve">${_Ondertekent_namens_het_bedrijf:company_representative:text_}</w:t>
            </w:r>
          </w:p>
          <w:p>
            <w:pPr>
              <w:spacing w:before="400" w:after="0"/>
            </w:pPr>
            <w:r>
              <w:rPr>
                <w:color w:val="9CA3AF"/>
                <w:sz w:val="18"/>
                <w:szCs w:val="18"/>
              </w:rPr>
              <w:t xml:space="preserve">............................................</w:t>
            </w:r>
          </w:p>
          <w:p>
            <w:pPr>
              <w:spacing w:after="0"/>
            </w:pPr>
            <w:r>
              <w:rPr>
                <w:rStyle w:val="Caption"/>
              </w:rPr>
              <w:t xml:space="preserve">Werkgever, namens ${_Bedrijfsnaam:company_name:text_}</w:t>
            </w:r>
          </w:p>
        </w:tc>
        <w:tc>
          <w:tcPr>
            <w:tcW w:w="4500" w:type="dxa"/>
            <w:vAlign w:val="bottom"/>
            <w:noWrap/>
          </w:tcPr>
          <w:p>
            <w:pPr>
              <w:jc w:val="start"/>
              <w:spacing w:before="360" w:after="0"/>
            </w:pPr>
            <w:r>
              <w:rPr>
                <w:b w:val="1"/>
                <w:bCs w:val="1"/>
              </w:rPr>
              <w:t xml:space="preserve">${_Volledige_naam_werknemer:employee_name:text_}</w:t>
            </w:r>
          </w:p>
          <w:p>
            <w:pPr>
              <w:spacing w:before="400" w:after="0"/>
            </w:pPr>
            <w:r>
              <w:rPr>
                <w:color w:val="9CA3AF"/>
                <w:sz w:val="18"/>
                <w:szCs w:val="18"/>
              </w:rPr>
              <w:t xml:space="preserve">............................................</w:t>
            </w:r>
          </w:p>
          <w:p>
            <w:pPr>
              <w:spacing w:after="0"/>
            </w:pPr>
            <w:r>
              <w:rPr>
                <w:rStyle w:val="Caption"/>
              </w:rPr>
              <w:t xml:space="preserve">Werknemer</w:t>
            </w:r>
          </w:p>
        </w:tc>
      </w:tr>
    </w:tbl>
    <w:sectPr>
      <w:footerReference w:type="default" r:id="rId7"/>
      <w:pgSz w:orient="portrait" w:w="11905.511811023622" w:h="16837.79527559055"/>
      <w:pgMar w:top="1250" w:right="1300" w:bottom="1250" w:left="13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spacing w:after="0"/>
    </w:pPr>
    <w:r>
      <w:rPr>
        <w:color w:val="9CA3AF"/>
        <w:sz w:val="16"/>
        <w:szCs w:val="16"/>
      </w:rPr>
      <w:t xml:space="preserve">Document gemaakt in het Jober ATS - jober.nl   ·   </w:t>
    </w:r>
    <w:r>
      <w:fldChar w:fldCharType="begin"/>
    </w:r>
    <w:r>
      <w:rPr>
        <w:color w:val="9CA3AF"/>
        <w:sz w:val="16"/>
        <w:szCs w:val="16"/>
      </w:rPr>
      <w:instrText xml:space="preserve">PAGE</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nl-NL"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Carlito" w:hAnsi="Carlito" w:eastAsia="Arial" w:cs="Carlito"/>
        <w:color w:val="000000"/>
        <w:sz w:val="21"/>
        <w:szCs w:val="21"/>
        <w:lang w:val="nl-NL"/>
      </w:rPr>
    </w:rPrDefault>
    <w:pPrDefault>
      <w:pPr>
        <w:widowControl/>
      </w:pPr>
    </w:pPrDefault>
  </w:docDefaults>
  <w:style w:type="paragraph" w:default="1" w:styleId="Normal">
    <w:name w:val="Normal"/>
    <w:pPr>
      <w:spacing w:after="120" w:line="276" w:lineRule="auto"/>
    </w:pPr>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120" w:after="240"/>
    </w:pPr>
    <w:rPr>
      <w:color w:val="0D1527"/>
      <w:sz w:val="40"/>
      <w:szCs w:val="40"/>
      <w:b w:val="1"/>
      <w:bCs w:val="1"/>
    </w:rPr>
  </w:style>
  <w:style w:type="paragraph" w:styleId="Heading2">
    <w:link w:val="Heading2Char"/>
    <w:name w:val="heading 2"/>
    <w:basedOn w:val="Normal"/>
    <w:pPr>
      <w:keepNext w:val="1"/>
      <w:spacing w:before="280" w:after="80"/>
    </w:pPr>
    <w:rPr>
      <w:color w:val="0D1527"/>
      <w:sz w:val="24"/>
      <w:szCs w:val="24"/>
      <w:b w:val="1"/>
      <w:bCs w:val="1"/>
    </w:rPr>
  </w:style>
  <w:style w:type="paragraph" w:customStyle="1" w:styleId="Meta">
    <w:name w:val="Meta"/>
    <w:basedOn w:val="Normal"/>
    <w:pPr>
      <w:spacing w:after="160"/>
    </w:pPr>
  </w:style>
  <w:style w:type="character">
    <w:name w:val="MetaFont"/>
    <w:rPr>
      <w:color w:val="6B7280"/>
      <w:sz w:val="19"/>
      <w:szCs w:val="19"/>
    </w:rPr>
  </w:style>
  <w:style w:type="character">
    <w:name w:val="Caption"/>
    <w:rPr>
      <w:color w:val="6B7280"/>
      <w:sz w:val="17"/>
      <w:szCs w:val="17"/>
    </w:rPr>
  </w:style>
  <w:style w:type="table" w:customStyle="1" w:styleId="DocTable">
    <w:name w:val="DocTable"/>
    <w:uiPriority w:val="99"/>
    <w:tblPr>
      <w:tblW w:w="5000" w:type="pct"/>
      <w:tblLayout w:type="autofit"/>
      <w:tblCellMar>
        <w:top w:w="90" w:type="dxa"/>
        <w:left w:w="90" w:type="dxa"/>
        <w:right w:w="90" w:type="dxa"/>
        <w:bottom w:w="90" w:type="dxa"/>
      </w:tblCellMar>
      <w:tblBorders>
        <w:top w:val="single" w:sz="6" w:color="C8CCD4"/>
        <w:left w:val="single" w:sz="6" w:color="C8CCD4"/>
        <w:right w:val="single" w:sz="6" w:color="C8CCD4"/>
        <w:bottom w:val="single" w:sz="6" w:color="C8CCD4"/>
        <w:insideH w:val="single" w:sz="6" w:color="C8CCD4"/>
        <w:insideV w:val="single" w:sz="6" w:color="C8CCD4"/>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2026-11-08T09:54:01+00:00</dcterms:created>
  <dcterms:modified xsi:type="dcterms:W3CDTF">2026-11-08T09:54:01+00:00</dcterms:modified>
</cp:coreProperties>
</file>

<file path=docProps/custom.xml><?xml version="1.0" encoding="utf-8"?>
<Properties xmlns="http://schemas.openxmlformats.org/officeDocument/2006/custom-properties" xmlns:vt="http://schemas.openxmlformats.org/officeDocument/2006/docPropsVTypes"/>
</file>